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4BBC2" w14:textId="157DA8B3" w:rsidR="00602F2B" w:rsidRPr="004C6A84" w:rsidRDefault="002F12ED" w:rsidP="002F12ED">
      <w:pPr>
        <w:jc w:val="center"/>
      </w:pPr>
      <w:bookmarkStart w:id="0" w:name="_GoBack"/>
      <w:bookmarkEnd w:id="0"/>
      <w:r>
        <w:rPr>
          <w:b/>
          <w:sz w:val="40"/>
          <w:szCs w:val="40"/>
        </w:rPr>
        <w:t>P</w:t>
      </w:r>
      <w:r w:rsidR="00602F2B" w:rsidRPr="00602F2B">
        <w:rPr>
          <w:b/>
          <w:sz w:val="40"/>
          <w:szCs w:val="40"/>
        </w:rPr>
        <w:t>ro</w:t>
      </w:r>
      <w:r w:rsidR="004C6A84">
        <w:rPr>
          <w:b/>
          <w:sz w:val="40"/>
          <w:szCs w:val="40"/>
        </w:rPr>
        <w:t>gram</w:t>
      </w:r>
    </w:p>
    <w:p w14:paraId="69B3D671" w14:textId="77777777" w:rsidR="00602F2B" w:rsidRDefault="00602F2B" w:rsidP="00602F2B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Den Vetenskapliga Grunden för K</w:t>
      </w:r>
      <w:r w:rsidR="00C5356F">
        <w:rPr>
          <w:b/>
          <w:sz w:val="36"/>
          <w:szCs w:val="36"/>
        </w:rPr>
        <w:t xml:space="preserve">limatförhandlingarna i Paris - </w:t>
      </w:r>
      <w:r>
        <w:rPr>
          <w:b/>
          <w:sz w:val="36"/>
          <w:szCs w:val="36"/>
        </w:rPr>
        <w:t>COP21</w:t>
      </w:r>
    </w:p>
    <w:p w14:paraId="236A6F01" w14:textId="55FB58CA" w:rsidR="003F3BA5" w:rsidRDefault="00602F2B" w:rsidP="007D5B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Ett halv</w:t>
      </w:r>
      <w:r w:rsidR="007D5B7B">
        <w:rPr>
          <w:b/>
          <w:sz w:val="28"/>
          <w:szCs w:val="28"/>
        </w:rPr>
        <w:t>dagsseminarium vid Stockholms universitet i Frescati</w:t>
      </w:r>
      <w:r>
        <w:rPr>
          <w:b/>
          <w:sz w:val="28"/>
          <w:szCs w:val="28"/>
        </w:rPr>
        <w:t>,</w:t>
      </w:r>
      <w:r w:rsidR="007D5B7B">
        <w:rPr>
          <w:b/>
          <w:sz w:val="28"/>
          <w:szCs w:val="28"/>
        </w:rPr>
        <w:t xml:space="preserve"> Geohuset, Nordenskiöldsalen, 11 november 2015</w:t>
      </w:r>
      <w:r>
        <w:rPr>
          <w:b/>
          <w:sz w:val="28"/>
          <w:szCs w:val="28"/>
        </w:rPr>
        <w:t>, kl. 13-16:30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02F2B" w14:paraId="18E4420D" w14:textId="77777777">
        <w:tc>
          <w:tcPr>
            <w:tcW w:w="1980" w:type="dxa"/>
          </w:tcPr>
          <w:p w14:paraId="453143D8" w14:textId="77777777" w:rsidR="00602F2B" w:rsidRPr="003F3BA5" w:rsidRDefault="00602F2B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13:00 – 13:10</w:t>
            </w:r>
          </w:p>
        </w:tc>
        <w:tc>
          <w:tcPr>
            <w:tcW w:w="7082" w:type="dxa"/>
          </w:tcPr>
          <w:p w14:paraId="0E047E14" w14:textId="77777777" w:rsidR="00602F2B" w:rsidRPr="003F3BA5" w:rsidRDefault="00602F2B" w:rsidP="00602F2B">
            <w:pPr>
              <w:rPr>
                <w:b/>
                <w:sz w:val="24"/>
                <w:szCs w:val="24"/>
              </w:rPr>
            </w:pPr>
            <w:r w:rsidRPr="003F3BA5">
              <w:rPr>
                <w:b/>
                <w:sz w:val="24"/>
                <w:szCs w:val="24"/>
              </w:rPr>
              <w:t>Inledning</w:t>
            </w:r>
          </w:p>
          <w:p w14:paraId="5D65791D" w14:textId="77777777" w:rsidR="00602F2B" w:rsidRPr="003F3BA5" w:rsidRDefault="00602F2B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Svante Bodin, Ordförande SMS</w:t>
            </w:r>
          </w:p>
        </w:tc>
      </w:tr>
      <w:tr w:rsidR="00602F2B" w14:paraId="121B9370" w14:textId="77777777">
        <w:tc>
          <w:tcPr>
            <w:tcW w:w="1980" w:type="dxa"/>
          </w:tcPr>
          <w:p w14:paraId="07C6B183" w14:textId="77777777" w:rsidR="00602F2B" w:rsidRPr="003F3BA5" w:rsidRDefault="00602F2B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13:10 – 13:</w:t>
            </w:r>
            <w:r w:rsidR="004C6A84" w:rsidRPr="003F3BA5">
              <w:rPr>
                <w:sz w:val="24"/>
                <w:szCs w:val="24"/>
              </w:rPr>
              <w:t>30</w:t>
            </w:r>
          </w:p>
        </w:tc>
        <w:tc>
          <w:tcPr>
            <w:tcW w:w="7082" w:type="dxa"/>
          </w:tcPr>
          <w:p w14:paraId="6C949853" w14:textId="77777777" w:rsidR="00602F2B" w:rsidRPr="003F3BA5" w:rsidRDefault="00602F2B" w:rsidP="00602F2B">
            <w:pPr>
              <w:rPr>
                <w:b/>
                <w:sz w:val="24"/>
                <w:szCs w:val="24"/>
              </w:rPr>
            </w:pPr>
            <w:r w:rsidRPr="003F3BA5">
              <w:rPr>
                <w:b/>
                <w:sz w:val="24"/>
                <w:szCs w:val="24"/>
              </w:rPr>
              <w:t>Vetenskap och Klimatförhandlingar – Hur hänger de ihop?</w:t>
            </w:r>
          </w:p>
          <w:p w14:paraId="1BA488AA" w14:textId="5E2D1F88" w:rsidR="00602F2B" w:rsidRPr="003F3BA5" w:rsidRDefault="000B6E93" w:rsidP="00602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Turesson</w:t>
            </w:r>
            <w:r w:rsidR="006030F3">
              <w:rPr>
                <w:sz w:val="24"/>
                <w:szCs w:val="24"/>
              </w:rPr>
              <w:t>, Huvudsekreterare, Miljöforskningsberedningen</w:t>
            </w:r>
            <w:r w:rsidR="0019447C">
              <w:rPr>
                <w:sz w:val="24"/>
                <w:szCs w:val="24"/>
              </w:rPr>
              <w:t xml:space="preserve"> och tidigare chefsförhandlare vid Miljödepartementet</w:t>
            </w:r>
          </w:p>
        </w:tc>
      </w:tr>
      <w:tr w:rsidR="004C6A84" w14:paraId="43AEE7CC" w14:textId="77777777">
        <w:tc>
          <w:tcPr>
            <w:tcW w:w="1980" w:type="dxa"/>
          </w:tcPr>
          <w:p w14:paraId="46F3F393" w14:textId="454C458E" w:rsidR="004C6A84" w:rsidRPr="003F3BA5" w:rsidRDefault="00636E1F" w:rsidP="00602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13:55</w:t>
            </w:r>
          </w:p>
        </w:tc>
        <w:tc>
          <w:tcPr>
            <w:tcW w:w="7082" w:type="dxa"/>
          </w:tcPr>
          <w:p w14:paraId="17D4179C" w14:textId="77777777" w:rsidR="004C6A84" w:rsidRPr="003F3BA5" w:rsidRDefault="004C6A84" w:rsidP="004C6A84">
            <w:pPr>
              <w:rPr>
                <w:b/>
                <w:sz w:val="24"/>
                <w:szCs w:val="24"/>
              </w:rPr>
            </w:pPr>
            <w:r w:rsidRPr="003F3BA5">
              <w:rPr>
                <w:b/>
                <w:sz w:val="24"/>
                <w:szCs w:val="24"/>
              </w:rPr>
              <w:t>Förstärkta hotbilder – känner förhandlarna och politikerna till dem?</w:t>
            </w:r>
          </w:p>
          <w:p w14:paraId="3E9A80E8" w14:textId="4BFFC858" w:rsidR="004C6A84" w:rsidRPr="003F3BA5" w:rsidRDefault="004C6A84" w:rsidP="004C6A84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 xml:space="preserve">Arktis, </w:t>
            </w:r>
            <w:r w:rsidR="00DC55F6">
              <w:rPr>
                <w:sz w:val="24"/>
                <w:szCs w:val="24"/>
              </w:rPr>
              <w:t xml:space="preserve">Antarktis och </w:t>
            </w:r>
            <w:r w:rsidR="00636E1F">
              <w:rPr>
                <w:sz w:val="24"/>
                <w:szCs w:val="24"/>
              </w:rPr>
              <w:t>Permafrost och M</w:t>
            </w:r>
            <w:r w:rsidR="00803295">
              <w:rPr>
                <w:sz w:val="24"/>
                <w:szCs w:val="24"/>
              </w:rPr>
              <w:t>etan</w:t>
            </w:r>
          </w:p>
          <w:p w14:paraId="485017D3" w14:textId="1EDEF786" w:rsidR="004C6A84" w:rsidRPr="003F3BA5" w:rsidRDefault="004C6A84" w:rsidP="004C6A84">
            <w:pPr>
              <w:rPr>
                <w:b/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Dr. Svante Bodin</w:t>
            </w:r>
            <w:r w:rsidR="00636E1F">
              <w:rPr>
                <w:sz w:val="24"/>
                <w:szCs w:val="24"/>
              </w:rPr>
              <w:t xml:space="preserve"> och Prof. Patrick </w:t>
            </w:r>
            <w:proofErr w:type="spellStart"/>
            <w:r w:rsidR="00636E1F">
              <w:rPr>
                <w:sz w:val="24"/>
                <w:szCs w:val="24"/>
              </w:rPr>
              <w:t>Crill</w:t>
            </w:r>
            <w:proofErr w:type="spellEnd"/>
            <w:r w:rsidR="00636E1F">
              <w:rPr>
                <w:sz w:val="24"/>
                <w:szCs w:val="24"/>
              </w:rPr>
              <w:t>, Bolin Centre (tbc)</w:t>
            </w:r>
          </w:p>
        </w:tc>
      </w:tr>
      <w:tr w:rsidR="00602F2B" w14:paraId="3C2AA790" w14:textId="77777777">
        <w:tc>
          <w:tcPr>
            <w:tcW w:w="1980" w:type="dxa"/>
          </w:tcPr>
          <w:p w14:paraId="27FF5766" w14:textId="38902A33" w:rsidR="00602F2B" w:rsidRPr="003F3BA5" w:rsidRDefault="00636E1F" w:rsidP="00602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</w:t>
            </w:r>
            <w:r w:rsidR="004C6A84" w:rsidRPr="003F3BA5">
              <w:rPr>
                <w:sz w:val="24"/>
                <w:szCs w:val="24"/>
              </w:rPr>
              <w:t xml:space="preserve"> – 14:20</w:t>
            </w:r>
          </w:p>
        </w:tc>
        <w:tc>
          <w:tcPr>
            <w:tcW w:w="7082" w:type="dxa"/>
          </w:tcPr>
          <w:p w14:paraId="09C8B92D" w14:textId="1E37EA65" w:rsidR="00602F2B" w:rsidRPr="003F3BA5" w:rsidRDefault="00602F2B" w:rsidP="00602F2B">
            <w:pPr>
              <w:rPr>
                <w:b/>
                <w:sz w:val="24"/>
                <w:szCs w:val="24"/>
              </w:rPr>
            </w:pPr>
            <w:r w:rsidRPr="003F3BA5">
              <w:rPr>
                <w:b/>
                <w:sz w:val="24"/>
                <w:szCs w:val="24"/>
              </w:rPr>
              <w:t xml:space="preserve">Det långsiktiga </w:t>
            </w:r>
            <w:r w:rsidR="00A076C4">
              <w:rPr>
                <w:b/>
                <w:sz w:val="24"/>
                <w:szCs w:val="24"/>
              </w:rPr>
              <w:t>k</w:t>
            </w:r>
            <w:r w:rsidR="00A076C4" w:rsidRPr="003F3BA5">
              <w:rPr>
                <w:b/>
                <w:sz w:val="24"/>
                <w:szCs w:val="24"/>
              </w:rPr>
              <w:t>limatmålet</w:t>
            </w:r>
            <w:r w:rsidRPr="003F3BA5">
              <w:rPr>
                <w:b/>
                <w:sz w:val="24"/>
                <w:szCs w:val="24"/>
              </w:rPr>
              <w:t>- 1,5 grader eller 2 grader? Eller något annat?</w:t>
            </w:r>
          </w:p>
          <w:p w14:paraId="7474B402" w14:textId="605418B5" w:rsidR="00602F2B" w:rsidRPr="003F3BA5" w:rsidRDefault="00602F2B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Prof. Markku Rummukainen</w:t>
            </w:r>
            <w:r w:rsidR="00F15305">
              <w:rPr>
                <w:sz w:val="24"/>
                <w:szCs w:val="24"/>
              </w:rPr>
              <w:t>, Lunds universitet</w:t>
            </w:r>
          </w:p>
        </w:tc>
      </w:tr>
      <w:tr w:rsidR="00602F2B" w14:paraId="1B2DFA49" w14:textId="77777777">
        <w:tc>
          <w:tcPr>
            <w:tcW w:w="1980" w:type="dxa"/>
          </w:tcPr>
          <w:p w14:paraId="4B6B1C73" w14:textId="77777777" w:rsidR="00602F2B" w:rsidRPr="003F3BA5" w:rsidRDefault="004C6A84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14:20 – 14:45</w:t>
            </w:r>
          </w:p>
        </w:tc>
        <w:tc>
          <w:tcPr>
            <w:tcW w:w="7082" w:type="dxa"/>
          </w:tcPr>
          <w:p w14:paraId="053A54AE" w14:textId="77777777" w:rsidR="00602F2B" w:rsidRDefault="00602F2B" w:rsidP="00602F2B">
            <w:pPr>
              <w:rPr>
                <w:b/>
                <w:sz w:val="24"/>
                <w:szCs w:val="24"/>
              </w:rPr>
            </w:pPr>
            <w:r w:rsidRPr="003F3BA5">
              <w:rPr>
                <w:b/>
                <w:sz w:val="24"/>
                <w:szCs w:val="24"/>
              </w:rPr>
              <w:t>Kan vi nå målet med de åtaganden som länderna har lagt på bordet –</w:t>
            </w:r>
            <w:r w:rsidR="004C6A84" w:rsidRPr="003F3BA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3BA5">
              <w:rPr>
                <w:b/>
                <w:sz w:val="24"/>
                <w:szCs w:val="24"/>
              </w:rPr>
              <w:t>INDCs</w:t>
            </w:r>
            <w:proofErr w:type="spellEnd"/>
            <w:r w:rsidRPr="00D56B70">
              <w:rPr>
                <w:b/>
                <w:sz w:val="24"/>
                <w:szCs w:val="24"/>
              </w:rPr>
              <w:t>?</w:t>
            </w:r>
            <w:r w:rsidR="00D56B70" w:rsidRPr="00D56B70">
              <w:rPr>
                <w:b/>
                <w:sz w:val="24"/>
                <w:szCs w:val="24"/>
              </w:rPr>
              <w:t xml:space="preserve"> </w:t>
            </w:r>
            <w:r w:rsidR="00D56B70" w:rsidRPr="00D56B70">
              <w:rPr>
                <w:b/>
                <w:bCs/>
                <w:iCs/>
                <w:sz w:val="24"/>
                <w:szCs w:val="24"/>
              </w:rPr>
              <w:t xml:space="preserve">Är åtagandena jämförbara? Har OECD-länderna gjort tillräckligt? </w:t>
            </w:r>
          </w:p>
          <w:p w14:paraId="19B04AB0" w14:textId="78130FF5" w:rsidR="00F15305" w:rsidRPr="00F15305" w:rsidRDefault="00803295" w:rsidP="00602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Johannes Mo</w:t>
            </w:r>
            <w:r w:rsidR="00F15305">
              <w:rPr>
                <w:sz w:val="24"/>
                <w:szCs w:val="24"/>
              </w:rPr>
              <w:t>rfeldt, Doktorand</w:t>
            </w:r>
            <w:r w:rsidR="00980D45">
              <w:rPr>
                <w:sz w:val="24"/>
                <w:szCs w:val="24"/>
              </w:rPr>
              <w:t xml:space="preserve"> och handläggare vid</w:t>
            </w:r>
            <w:r w:rsidR="00F15305">
              <w:rPr>
                <w:sz w:val="24"/>
                <w:szCs w:val="24"/>
              </w:rPr>
              <w:t xml:space="preserve"> Naturvårdsverket</w:t>
            </w:r>
          </w:p>
        </w:tc>
      </w:tr>
      <w:tr w:rsidR="00602F2B" w14:paraId="5A8C33D9" w14:textId="77777777">
        <w:tc>
          <w:tcPr>
            <w:tcW w:w="1980" w:type="dxa"/>
          </w:tcPr>
          <w:p w14:paraId="4DE78CC6" w14:textId="77777777" w:rsidR="00602F2B" w:rsidRPr="003F3BA5" w:rsidRDefault="004C6A84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14:45 – 15:15</w:t>
            </w:r>
          </w:p>
        </w:tc>
        <w:tc>
          <w:tcPr>
            <w:tcW w:w="7082" w:type="dxa"/>
          </w:tcPr>
          <w:p w14:paraId="471061FE" w14:textId="77777777" w:rsidR="00602F2B" w:rsidRPr="003F3BA5" w:rsidRDefault="00602F2B" w:rsidP="00602F2B">
            <w:pPr>
              <w:rPr>
                <w:b/>
                <w:sz w:val="24"/>
                <w:szCs w:val="24"/>
              </w:rPr>
            </w:pPr>
            <w:r w:rsidRPr="003F3BA5">
              <w:rPr>
                <w:b/>
                <w:sz w:val="24"/>
                <w:szCs w:val="24"/>
              </w:rPr>
              <w:t>Kafferast</w:t>
            </w:r>
          </w:p>
        </w:tc>
      </w:tr>
      <w:tr w:rsidR="00602F2B" w14:paraId="016BED1B" w14:textId="77777777">
        <w:tc>
          <w:tcPr>
            <w:tcW w:w="1980" w:type="dxa"/>
          </w:tcPr>
          <w:p w14:paraId="4FADFF39" w14:textId="77777777" w:rsidR="00602F2B" w:rsidRPr="003F3BA5" w:rsidRDefault="004C6A84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15:15 – 15:30</w:t>
            </w:r>
          </w:p>
        </w:tc>
        <w:tc>
          <w:tcPr>
            <w:tcW w:w="7082" w:type="dxa"/>
          </w:tcPr>
          <w:p w14:paraId="6124FD0E" w14:textId="4A86B459" w:rsidR="00602F2B" w:rsidRPr="003F3BA5" w:rsidRDefault="00602F2B" w:rsidP="00602F2B">
            <w:pPr>
              <w:rPr>
                <w:b/>
                <w:sz w:val="24"/>
                <w:szCs w:val="24"/>
              </w:rPr>
            </w:pPr>
            <w:r w:rsidRPr="003F3BA5">
              <w:rPr>
                <w:b/>
                <w:sz w:val="24"/>
                <w:szCs w:val="24"/>
              </w:rPr>
              <w:t xml:space="preserve">Klimateffekter vid olika målalternativ </w:t>
            </w:r>
            <w:r w:rsidR="002F12ED" w:rsidRPr="003F3BA5">
              <w:rPr>
                <w:b/>
                <w:sz w:val="24"/>
                <w:szCs w:val="24"/>
              </w:rPr>
              <w:t xml:space="preserve">1,5, 2 grader eller </w:t>
            </w:r>
            <w:r w:rsidR="00D50598">
              <w:rPr>
                <w:b/>
                <w:sz w:val="24"/>
                <w:szCs w:val="24"/>
              </w:rPr>
              <w:t>”</w:t>
            </w:r>
            <w:r w:rsidR="002F12ED" w:rsidRPr="003F3BA5">
              <w:rPr>
                <w:b/>
                <w:sz w:val="24"/>
                <w:szCs w:val="24"/>
              </w:rPr>
              <w:t xml:space="preserve">business as </w:t>
            </w:r>
            <w:proofErr w:type="spellStart"/>
            <w:r w:rsidR="002F12ED" w:rsidRPr="003F3BA5">
              <w:rPr>
                <w:b/>
                <w:sz w:val="24"/>
                <w:szCs w:val="24"/>
              </w:rPr>
              <w:t>usual</w:t>
            </w:r>
            <w:proofErr w:type="spellEnd"/>
            <w:r w:rsidR="00D50598">
              <w:rPr>
                <w:b/>
                <w:sz w:val="24"/>
                <w:szCs w:val="24"/>
              </w:rPr>
              <w:t>”</w:t>
            </w:r>
            <w:r w:rsidRPr="003F3BA5">
              <w:rPr>
                <w:b/>
                <w:sz w:val="24"/>
                <w:szCs w:val="24"/>
              </w:rPr>
              <w:t>– betydelse för anpassning och riskanalys</w:t>
            </w:r>
            <w:r w:rsidR="004C6A84" w:rsidRPr="003F3BA5">
              <w:rPr>
                <w:b/>
                <w:sz w:val="24"/>
                <w:szCs w:val="24"/>
              </w:rPr>
              <w:t>.</w:t>
            </w:r>
          </w:p>
          <w:p w14:paraId="630CE9A3" w14:textId="6DFEC417" w:rsidR="004C6A84" w:rsidRPr="003F3BA5" w:rsidRDefault="00980D45" w:rsidP="00602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Lars Bäring, </w:t>
            </w:r>
            <w:r w:rsidR="00803295">
              <w:rPr>
                <w:sz w:val="24"/>
                <w:szCs w:val="24"/>
              </w:rPr>
              <w:t xml:space="preserve">Forskare, </w:t>
            </w:r>
            <w:r>
              <w:rPr>
                <w:sz w:val="24"/>
                <w:szCs w:val="24"/>
              </w:rPr>
              <w:t>SMHI</w:t>
            </w:r>
          </w:p>
        </w:tc>
      </w:tr>
      <w:tr w:rsidR="00602F2B" w14:paraId="649E5AB8" w14:textId="77777777">
        <w:tc>
          <w:tcPr>
            <w:tcW w:w="1980" w:type="dxa"/>
          </w:tcPr>
          <w:p w14:paraId="2473E4F3" w14:textId="77777777" w:rsidR="00602F2B" w:rsidRPr="003F3BA5" w:rsidRDefault="004C6A84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15:30 – 16:30</w:t>
            </w:r>
          </w:p>
        </w:tc>
        <w:tc>
          <w:tcPr>
            <w:tcW w:w="7082" w:type="dxa"/>
          </w:tcPr>
          <w:p w14:paraId="0D230457" w14:textId="6CA1A2BA" w:rsidR="00602F2B" w:rsidRDefault="004C6A84" w:rsidP="00602F2B">
            <w:pPr>
              <w:rPr>
                <w:sz w:val="24"/>
                <w:szCs w:val="24"/>
              </w:rPr>
            </w:pPr>
            <w:r w:rsidRPr="003F3BA5">
              <w:rPr>
                <w:b/>
                <w:sz w:val="24"/>
                <w:szCs w:val="24"/>
              </w:rPr>
              <w:t>Paneldisk</w:t>
            </w:r>
            <w:r w:rsidR="00A076C4">
              <w:rPr>
                <w:b/>
                <w:sz w:val="24"/>
                <w:szCs w:val="24"/>
              </w:rPr>
              <w:t>u</w:t>
            </w:r>
            <w:r w:rsidRPr="003F3BA5">
              <w:rPr>
                <w:b/>
                <w:sz w:val="24"/>
                <w:szCs w:val="24"/>
              </w:rPr>
              <w:t>ssion</w:t>
            </w:r>
            <w:r w:rsidR="00491CFB">
              <w:rPr>
                <w:b/>
                <w:sz w:val="24"/>
                <w:szCs w:val="24"/>
              </w:rPr>
              <w:br/>
            </w:r>
            <w:r w:rsidR="00491CFB">
              <w:rPr>
                <w:sz w:val="24"/>
                <w:szCs w:val="24"/>
              </w:rPr>
              <w:t xml:space="preserve"> Har</w:t>
            </w:r>
            <w:r w:rsidR="00491CFB" w:rsidRPr="003F3BA5">
              <w:rPr>
                <w:sz w:val="24"/>
                <w:szCs w:val="24"/>
              </w:rPr>
              <w:t xml:space="preserve"> förhandlare och politiker den vetenskapliga information de behöver och borde ha</w:t>
            </w:r>
            <w:r w:rsidR="00491CFB">
              <w:rPr>
                <w:sz w:val="24"/>
                <w:szCs w:val="24"/>
              </w:rPr>
              <w:t>? Om inte, handlar det om att vetenskapen inte tillhandahåller informationen eller inte kan ta fram den</w:t>
            </w:r>
            <w:r w:rsidR="00803295">
              <w:rPr>
                <w:sz w:val="24"/>
                <w:szCs w:val="24"/>
              </w:rPr>
              <w:t>? Eller at den inte efterfrågas?</w:t>
            </w:r>
          </w:p>
          <w:p w14:paraId="167B9A98" w14:textId="77777777" w:rsidR="00491CFB" w:rsidRDefault="00491CFB" w:rsidP="00602F2B">
            <w:pPr>
              <w:rPr>
                <w:b/>
                <w:sz w:val="24"/>
                <w:szCs w:val="24"/>
              </w:rPr>
            </w:pPr>
          </w:p>
          <w:p w14:paraId="44358100" w14:textId="543ECF36" w:rsidR="00491CFB" w:rsidRDefault="00491CFB" w:rsidP="00602F2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Moderator: </w:t>
            </w:r>
            <w:r w:rsidRPr="00491CFB">
              <w:rPr>
                <w:sz w:val="24"/>
                <w:szCs w:val="24"/>
              </w:rPr>
              <w:t>Svante Bodin</w:t>
            </w:r>
          </w:p>
          <w:p w14:paraId="136A3638" w14:textId="4AD9963F" w:rsidR="004C6A84" w:rsidRPr="003F3BA5" w:rsidRDefault="004C6A84" w:rsidP="00602F2B">
            <w:pPr>
              <w:rPr>
                <w:sz w:val="24"/>
                <w:szCs w:val="24"/>
              </w:rPr>
            </w:pPr>
          </w:p>
          <w:p w14:paraId="6CAEAB71" w14:textId="77777777" w:rsidR="004C6A84" w:rsidRPr="003F3BA5" w:rsidRDefault="004C6A84" w:rsidP="00602F2B">
            <w:pPr>
              <w:rPr>
                <w:sz w:val="24"/>
                <w:szCs w:val="24"/>
              </w:rPr>
            </w:pPr>
            <w:r w:rsidRPr="003F3BA5">
              <w:rPr>
                <w:b/>
                <w:sz w:val="24"/>
                <w:szCs w:val="24"/>
              </w:rPr>
              <w:t>Panelen</w:t>
            </w:r>
            <w:r w:rsidRPr="003F3BA5">
              <w:rPr>
                <w:sz w:val="24"/>
                <w:szCs w:val="24"/>
              </w:rPr>
              <w:t xml:space="preserve">: </w:t>
            </w:r>
          </w:p>
          <w:p w14:paraId="03F3ECE0" w14:textId="406DB6F3" w:rsidR="002F12ED" w:rsidRPr="003F3BA5" w:rsidRDefault="006030F3" w:rsidP="00602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Turesson, Miljöforsknings</w:t>
            </w:r>
            <w:r w:rsidR="000B6E93">
              <w:rPr>
                <w:sz w:val="24"/>
                <w:szCs w:val="24"/>
              </w:rPr>
              <w:t>beredningen</w:t>
            </w:r>
            <w:r w:rsidR="00491CFB">
              <w:rPr>
                <w:sz w:val="24"/>
                <w:szCs w:val="24"/>
              </w:rPr>
              <w:t xml:space="preserve"> (TBC)</w:t>
            </w:r>
          </w:p>
          <w:p w14:paraId="3FD30EF0" w14:textId="515017AF" w:rsidR="002F12ED" w:rsidRPr="003F3BA5" w:rsidRDefault="002F12ED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 xml:space="preserve">Markku Rummukainen, Professor, Lunds </w:t>
            </w:r>
            <w:r w:rsidR="00A076C4">
              <w:rPr>
                <w:sz w:val="24"/>
                <w:szCs w:val="24"/>
              </w:rPr>
              <w:t>u</w:t>
            </w:r>
            <w:r w:rsidRPr="003F3BA5">
              <w:rPr>
                <w:sz w:val="24"/>
                <w:szCs w:val="24"/>
              </w:rPr>
              <w:t>niversite</w:t>
            </w:r>
            <w:r w:rsidR="00A076C4">
              <w:rPr>
                <w:sz w:val="24"/>
                <w:szCs w:val="24"/>
              </w:rPr>
              <w:t>t</w:t>
            </w:r>
          </w:p>
          <w:p w14:paraId="1A7CED7C" w14:textId="09B0C183" w:rsidR="002F12ED" w:rsidRPr="00D50598" w:rsidRDefault="002F12ED" w:rsidP="00602F2B">
            <w:pPr>
              <w:rPr>
                <w:sz w:val="24"/>
                <w:szCs w:val="24"/>
              </w:rPr>
            </w:pPr>
            <w:r w:rsidRPr="00D50598">
              <w:rPr>
                <w:sz w:val="24"/>
                <w:szCs w:val="24"/>
              </w:rPr>
              <w:t xml:space="preserve">Lars Bärring, </w:t>
            </w:r>
            <w:r w:rsidR="00803295">
              <w:rPr>
                <w:sz w:val="24"/>
                <w:szCs w:val="24"/>
              </w:rPr>
              <w:t xml:space="preserve">Forskare, </w:t>
            </w:r>
            <w:r w:rsidRPr="00D50598">
              <w:rPr>
                <w:sz w:val="24"/>
                <w:szCs w:val="24"/>
              </w:rPr>
              <w:t xml:space="preserve">IPCC </w:t>
            </w:r>
            <w:proofErr w:type="spellStart"/>
            <w:r w:rsidRPr="00D50598">
              <w:rPr>
                <w:sz w:val="24"/>
                <w:szCs w:val="24"/>
              </w:rPr>
              <w:t>Focal</w:t>
            </w:r>
            <w:proofErr w:type="spellEnd"/>
            <w:r w:rsidRPr="00D50598">
              <w:rPr>
                <w:sz w:val="24"/>
                <w:szCs w:val="24"/>
              </w:rPr>
              <w:t xml:space="preserve"> Point, SMHI</w:t>
            </w:r>
          </w:p>
          <w:p w14:paraId="45AF75FA" w14:textId="0DB6FB02" w:rsidR="002F12ED" w:rsidRDefault="002F12ED" w:rsidP="00602F2B">
            <w:pPr>
              <w:rPr>
                <w:sz w:val="24"/>
                <w:szCs w:val="24"/>
              </w:rPr>
            </w:pPr>
            <w:r w:rsidRPr="003F3BA5">
              <w:rPr>
                <w:sz w:val="24"/>
                <w:szCs w:val="24"/>
              </w:rPr>
              <w:t>Anna Rutgersson, Professor, Up</w:t>
            </w:r>
            <w:r w:rsidR="00491CFB">
              <w:rPr>
                <w:sz w:val="24"/>
                <w:szCs w:val="24"/>
              </w:rPr>
              <w:t>p</w:t>
            </w:r>
            <w:r w:rsidRPr="003F3BA5">
              <w:rPr>
                <w:sz w:val="24"/>
                <w:szCs w:val="24"/>
              </w:rPr>
              <w:t>sala universitet</w:t>
            </w:r>
          </w:p>
          <w:p w14:paraId="09814B2B" w14:textId="5F28D678" w:rsidR="00F15305" w:rsidRPr="003F3BA5" w:rsidRDefault="00F15305" w:rsidP="00602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Matthias </w:t>
            </w:r>
            <w:proofErr w:type="spellStart"/>
            <w:r>
              <w:rPr>
                <w:sz w:val="24"/>
                <w:szCs w:val="24"/>
              </w:rPr>
              <w:t>Fridahl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CE5ED8">
              <w:rPr>
                <w:sz w:val="24"/>
                <w:szCs w:val="24"/>
              </w:rPr>
              <w:t xml:space="preserve">Forskningskoordinator, </w:t>
            </w:r>
            <w:r>
              <w:rPr>
                <w:sz w:val="24"/>
                <w:szCs w:val="24"/>
              </w:rPr>
              <w:t>Linköpings universitet</w:t>
            </w:r>
          </w:p>
          <w:p w14:paraId="0198F93D" w14:textId="77777777" w:rsidR="004C6A84" w:rsidRPr="003F3BA5" w:rsidRDefault="004C6A84" w:rsidP="00F15305">
            <w:pPr>
              <w:rPr>
                <w:sz w:val="24"/>
                <w:szCs w:val="24"/>
              </w:rPr>
            </w:pPr>
          </w:p>
        </w:tc>
      </w:tr>
    </w:tbl>
    <w:p w14:paraId="45548190" w14:textId="77777777" w:rsidR="007D5B7B" w:rsidRDefault="007D5B7B" w:rsidP="00602F2B">
      <w:pPr>
        <w:rPr>
          <w:b/>
          <w:sz w:val="28"/>
          <w:szCs w:val="28"/>
        </w:rPr>
      </w:pPr>
    </w:p>
    <w:p w14:paraId="2293F539" w14:textId="1496EC78" w:rsidR="006E2603" w:rsidRPr="00602F2B" w:rsidRDefault="006E2603" w:rsidP="00602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74D11AAA" wp14:editId="160AC2EA">
            <wp:extent cx="394335" cy="367312"/>
            <wp:effectExtent l="0" t="0" r="1206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S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87" cy="38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</w:t>
      </w: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0612FC81" wp14:editId="5511A17A">
            <wp:extent cx="297340" cy="358140"/>
            <wp:effectExtent l="0" t="0" r="762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nds_universitet_C2r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74" cy="39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v-SE"/>
        </w:rPr>
        <w:t xml:space="preserve">           </w:t>
      </w:r>
      <w:r w:rsidRPr="00CB2CF3">
        <w:rPr>
          <w:rFonts w:ascii="Arial" w:hAnsi="Arial"/>
          <w:b/>
          <w:noProof/>
          <w:sz w:val="32"/>
          <w:lang w:eastAsia="sv-SE"/>
        </w:rPr>
        <w:drawing>
          <wp:inline distT="0" distB="0" distL="0" distR="0" wp14:anchorId="7C89BA61" wp14:editId="437EBD8D">
            <wp:extent cx="610235" cy="244094"/>
            <wp:effectExtent l="0" t="0" r="0" b="10160"/>
            <wp:docPr id="6" name="Bildobjekt 6" descr="SMHI logotype svart RGB 9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HI logotype svart RGB 90 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76" cy="2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v-SE"/>
        </w:rPr>
        <w:t xml:space="preserve">          </w:t>
      </w:r>
      <w:r>
        <w:rPr>
          <w:noProof/>
          <w:lang w:eastAsia="sv-SE"/>
        </w:rPr>
        <w:drawing>
          <wp:inline distT="0" distB="0" distL="0" distR="0" wp14:anchorId="4C32F310" wp14:editId="0A767F8D">
            <wp:extent cx="361678" cy="361678"/>
            <wp:effectExtent l="0" t="0" r="0" b="0"/>
            <wp:docPr id="5" name="Bildobjekt 5" descr="https://mp.uu.se/documents/432512/893786/uulogo_white.gif/52a6254b-3a10-4936-934d-76c6a0e533ac?t=1377780570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p.uu.se/documents/432512/893786/uulogo_white.gif/52a6254b-3a10-4936-934d-76c6a0e533ac?t=13777805707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88" cy="37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sv-SE"/>
        </w:rPr>
        <w:t xml:space="preserve">           </w:t>
      </w: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149D25B7" wp14:editId="118686ED">
            <wp:extent cx="1080135" cy="3655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 Bolincentret logotyp_liggande_sv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80" cy="39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603" w:rsidRPr="00602F2B" w:rsidSect="00276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D598" w14:textId="77777777" w:rsidR="00DA143A" w:rsidRDefault="00DA143A" w:rsidP="007D5B7B">
      <w:pPr>
        <w:spacing w:after="0" w:line="240" w:lineRule="auto"/>
      </w:pPr>
      <w:r>
        <w:separator/>
      </w:r>
    </w:p>
  </w:endnote>
  <w:endnote w:type="continuationSeparator" w:id="0">
    <w:p w14:paraId="614E85B0" w14:textId="77777777" w:rsidR="00DA143A" w:rsidRDefault="00DA143A" w:rsidP="007D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53F55" w14:textId="77777777" w:rsidR="00DA143A" w:rsidRDefault="00DA143A" w:rsidP="007D5B7B">
      <w:pPr>
        <w:spacing w:after="0" w:line="240" w:lineRule="auto"/>
      </w:pPr>
      <w:r>
        <w:separator/>
      </w:r>
    </w:p>
  </w:footnote>
  <w:footnote w:type="continuationSeparator" w:id="0">
    <w:p w14:paraId="109ADAF5" w14:textId="77777777" w:rsidR="00DA143A" w:rsidRDefault="00DA143A" w:rsidP="007D5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2B"/>
    <w:rsid w:val="00034BD9"/>
    <w:rsid w:val="000B6E93"/>
    <w:rsid w:val="00104BF1"/>
    <w:rsid w:val="00172569"/>
    <w:rsid w:val="0019447C"/>
    <w:rsid w:val="00276635"/>
    <w:rsid w:val="002F12ED"/>
    <w:rsid w:val="002F47C2"/>
    <w:rsid w:val="00306901"/>
    <w:rsid w:val="00356ED6"/>
    <w:rsid w:val="00395B7E"/>
    <w:rsid w:val="003F3BA5"/>
    <w:rsid w:val="0042514E"/>
    <w:rsid w:val="00491CFB"/>
    <w:rsid w:val="004B1D25"/>
    <w:rsid w:val="004C6A84"/>
    <w:rsid w:val="004D692C"/>
    <w:rsid w:val="0055007D"/>
    <w:rsid w:val="00557C20"/>
    <w:rsid w:val="00601F18"/>
    <w:rsid w:val="00602F2B"/>
    <w:rsid w:val="006030F3"/>
    <w:rsid w:val="00636E1F"/>
    <w:rsid w:val="00660178"/>
    <w:rsid w:val="00695FA2"/>
    <w:rsid w:val="006E2603"/>
    <w:rsid w:val="0074533E"/>
    <w:rsid w:val="007D5B7B"/>
    <w:rsid w:val="00803295"/>
    <w:rsid w:val="00925184"/>
    <w:rsid w:val="009401C7"/>
    <w:rsid w:val="00980D45"/>
    <w:rsid w:val="009B6398"/>
    <w:rsid w:val="009E26DB"/>
    <w:rsid w:val="00A076C4"/>
    <w:rsid w:val="00B4612E"/>
    <w:rsid w:val="00C07101"/>
    <w:rsid w:val="00C34DBF"/>
    <w:rsid w:val="00C5356F"/>
    <w:rsid w:val="00CE5ED8"/>
    <w:rsid w:val="00D4447F"/>
    <w:rsid w:val="00D50598"/>
    <w:rsid w:val="00D56B70"/>
    <w:rsid w:val="00DA143A"/>
    <w:rsid w:val="00DB5DA5"/>
    <w:rsid w:val="00DC55F6"/>
    <w:rsid w:val="00DD11A4"/>
    <w:rsid w:val="00E02167"/>
    <w:rsid w:val="00E54FD5"/>
    <w:rsid w:val="00F15305"/>
    <w:rsid w:val="00FB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BC4B"/>
  <w15:docId w15:val="{5A4C9595-FF54-4185-AB6E-7E4CFA6D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6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02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076C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076C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076C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076C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076C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76C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6E93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D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5B7B"/>
  </w:style>
  <w:style w:type="paragraph" w:styleId="Sidfot">
    <w:name w:val="footer"/>
    <w:basedOn w:val="Normal"/>
    <w:link w:val="SidfotChar"/>
    <w:uiPriority w:val="99"/>
    <w:unhideWhenUsed/>
    <w:rsid w:val="007D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1499</Characters>
  <Application>Microsoft Macintosh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Svante Bodin</dc:creator>
  <cp:keywords/>
  <dc:description/>
  <cp:lastModifiedBy>svante@bodin.com</cp:lastModifiedBy>
  <cp:revision>2</cp:revision>
  <cp:lastPrinted>2015-11-02T14:21:00Z</cp:lastPrinted>
  <dcterms:created xsi:type="dcterms:W3CDTF">2015-11-02T14:35:00Z</dcterms:created>
  <dcterms:modified xsi:type="dcterms:W3CDTF">2015-11-02T14:35:00Z</dcterms:modified>
</cp:coreProperties>
</file>